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附件1：</w:t>
      </w:r>
    </w:p>
    <w:p>
      <w:pPr>
        <w:adjustRightInd w:val="0"/>
        <w:snapToGrid w:val="0"/>
        <w:jc w:val="center"/>
        <w:rPr>
          <w:rFonts w:hint="eastAsia"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会议日程</w:t>
      </w:r>
    </w:p>
    <w:tbl>
      <w:tblPr>
        <w:tblStyle w:val="3"/>
        <w:tblW w:w="9771" w:type="dxa"/>
        <w:jc w:val="center"/>
        <w:tblLayout w:type="autofit"/>
        <w:tblCellMar>
          <w:top w:w="0" w:type="dxa"/>
          <w:left w:w="0" w:type="dxa"/>
          <w:bottom w:w="0" w:type="dxa"/>
          <w:right w:w="0" w:type="dxa"/>
        </w:tblCellMar>
      </w:tblPr>
      <w:tblGrid>
        <w:gridCol w:w="1691"/>
        <w:gridCol w:w="8080"/>
      </w:tblGrid>
      <w:tr>
        <w:tblPrEx>
          <w:tblCellMar>
            <w:top w:w="0" w:type="dxa"/>
            <w:left w:w="0" w:type="dxa"/>
            <w:bottom w:w="0" w:type="dxa"/>
            <w:right w:w="0" w:type="dxa"/>
          </w:tblCellMar>
        </w:tblPrEx>
        <w:trPr>
          <w:trHeight w:val="397" w:hRule="atLeast"/>
          <w:jc w:val="center"/>
        </w:trPr>
        <w:tc>
          <w:tcPr>
            <w:tcW w:w="9771" w:type="dxa"/>
            <w:gridSpan w:val="2"/>
            <w:tcBorders>
              <w:top w:val="single" w:color="A5A5A5" w:sz="8" w:space="0"/>
              <w:left w:val="single" w:color="A5A5A5" w:sz="8" w:space="0"/>
              <w:bottom w:val="single" w:color="A5A5A5" w:sz="8" w:space="0"/>
              <w:right w:val="single" w:color="A5A5A5" w:sz="8" w:space="0"/>
            </w:tcBorders>
            <w:shd w:val="clear" w:color="auto" w:fill="FBE5D6"/>
            <w:tcMar>
              <w:top w:w="15" w:type="dxa"/>
              <w:left w:w="108" w:type="dxa"/>
              <w:bottom w:w="0" w:type="dxa"/>
              <w:right w:w="108" w:type="dxa"/>
            </w:tcMar>
            <w:vAlign w:val="center"/>
          </w:tcPr>
          <w:p>
            <w:pPr>
              <w:adjustRightInd w:val="0"/>
              <w:snapToGrid w:val="0"/>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12月17日（周五）报到注册</w:t>
            </w:r>
          </w:p>
        </w:tc>
      </w:tr>
      <w:tr>
        <w:tblPrEx>
          <w:tblCellMar>
            <w:top w:w="0" w:type="dxa"/>
            <w:left w:w="0" w:type="dxa"/>
            <w:bottom w:w="0" w:type="dxa"/>
            <w:right w:w="0" w:type="dxa"/>
          </w:tblCellMar>
        </w:tblPrEx>
        <w:trPr>
          <w:trHeight w:val="397" w:hRule="atLeast"/>
          <w:jc w:val="center"/>
        </w:trPr>
        <w:tc>
          <w:tcPr>
            <w:tcW w:w="9771" w:type="dxa"/>
            <w:gridSpan w:val="2"/>
            <w:tcBorders>
              <w:top w:val="single" w:color="A5A5A5" w:sz="8" w:space="0"/>
              <w:left w:val="single" w:color="A5A5A5" w:sz="8" w:space="0"/>
              <w:bottom w:val="single" w:color="A5A5A5" w:sz="8" w:space="0"/>
              <w:right w:val="single" w:color="A5A5A5" w:sz="8" w:space="0"/>
            </w:tcBorders>
            <w:shd w:val="clear" w:color="auto" w:fill="FBE5D6"/>
            <w:tcMar>
              <w:top w:w="15" w:type="dxa"/>
              <w:left w:w="108" w:type="dxa"/>
              <w:bottom w:w="0" w:type="dxa"/>
              <w:right w:w="108" w:type="dxa"/>
            </w:tcMar>
            <w:vAlign w:val="center"/>
          </w:tcPr>
          <w:p>
            <w:pPr>
              <w:adjustRightInd w:val="0"/>
              <w:snapToGrid w:val="0"/>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12月18日（周六）上午  主会场：循证药学前沿与进展主旨报告</w:t>
            </w:r>
          </w:p>
        </w:tc>
      </w:tr>
      <w:tr>
        <w:tblPrEx>
          <w:tblCellMar>
            <w:top w:w="0" w:type="dxa"/>
            <w:left w:w="0" w:type="dxa"/>
            <w:bottom w:w="0" w:type="dxa"/>
            <w:right w:w="0" w:type="dxa"/>
          </w:tblCellMar>
        </w:tblPrEx>
        <w:trPr>
          <w:trHeight w:val="278"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auto"/>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08:00-08:30</w:t>
            </w:r>
          </w:p>
        </w:tc>
        <w:tc>
          <w:tcPr>
            <w:tcW w:w="8080" w:type="dxa"/>
            <w:tcBorders>
              <w:top w:val="single" w:color="A5A5A5" w:sz="8" w:space="0"/>
              <w:left w:val="single" w:color="A5A5A5" w:sz="8" w:space="0"/>
              <w:bottom w:val="single" w:color="A5A5A5" w:sz="8" w:space="0"/>
              <w:right w:val="single" w:color="A5A5A5" w:sz="8" w:space="0"/>
            </w:tcBorders>
            <w:shd w:val="clear" w:color="auto" w:fill="auto"/>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开幕式</w:t>
            </w:r>
          </w:p>
        </w:tc>
      </w:tr>
      <w:tr>
        <w:tblPrEx>
          <w:tblCellMar>
            <w:top w:w="0" w:type="dxa"/>
            <w:left w:w="0" w:type="dxa"/>
            <w:bottom w:w="0" w:type="dxa"/>
            <w:right w:w="0" w:type="dxa"/>
          </w:tblCellMar>
        </w:tblPrEx>
        <w:trPr>
          <w:trHeight w:val="211"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auto"/>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08:30-08:45</w:t>
            </w:r>
          </w:p>
        </w:tc>
        <w:tc>
          <w:tcPr>
            <w:tcW w:w="8080" w:type="dxa"/>
            <w:tcBorders>
              <w:top w:val="single" w:color="A5A5A5" w:sz="8" w:space="0"/>
              <w:left w:val="single" w:color="A5A5A5" w:sz="8" w:space="0"/>
              <w:bottom w:val="single" w:color="A5A5A5" w:sz="8" w:space="0"/>
              <w:right w:val="single" w:color="A5A5A5" w:sz="8" w:space="0"/>
            </w:tcBorders>
            <w:shd w:val="clear" w:color="auto" w:fill="auto"/>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胰岛素安全使用指南制定的发布会</w:t>
            </w:r>
          </w:p>
        </w:tc>
      </w:tr>
      <w:tr>
        <w:tblPrEx>
          <w:tblCellMar>
            <w:top w:w="0" w:type="dxa"/>
            <w:left w:w="0" w:type="dxa"/>
            <w:bottom w:w="0" w:type="dxa"/>
            <w:right w:w="0" w:type="dxa"/>
          </w:tblCellMar>
        </w:tblPrEx>
        <w:trPr>
          <w:trHeight w:val="145"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auto"/>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08:45-09:15</w:t>
            </w:r>
          </w:p>
        </w:tc>
        <w:tc>
          <w:tcPr>
            <w:tcW w:w="8080" w:type="dxa"/>
            <w:tcBorders>
              <w:top w:val="single" w:color="A5A5A5" w:sz="8" w:space="0"/>
              <w:left w:val="single" w:color="A5A5A5" w:sz="8" w:space="0"/>
              <w:bottom w:val="single" w:color="A5A5A5" w:sz="8" w:space="0"/>
              <w:right w:val="single" w:color="A5A5A5" w:sz="8" w:space="0"/>
            </w:tcBorders>
            <w:shd w:val="clear" w:color="auto" w:fill="auto"/>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临床实践指南：进展、挑战和与机遇</w:t>
            </w:r>
          </w:p>
        </w:tc>
      </w:tr>
      <w:tr>
        <w:tblPrEx>
          <w:tblCellMar>
            <w:top w:w="0" w:type="dxa"/>
            <w:left w:w="0" w:type="dxa"/>
            <w:bottom w:w="0" w:type="dxa"/>
            <w:right w:w="0" w:type="dxa"/>
          </w:tblCellMar>
        </w:tblPrEx>
        <w:trPr>
          <w:trHeight w:val="235"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auto"/>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09:15-09:45</w:t>
            </w:r>
          </w:p>
        </w:tc>
        <w:tc>
          <w:tcPr>
            <w:tcW w:w="8080" w:type="dxa"/>
            <w:tcBorders>
              <w:top w:val="single" w:color="A5A5A5" w:sz="8" w:space="0"/>
              <w:left w:val="single" w:color="A5A5A5" w:sz="8" w:space="0"/>
              <w:bottom w:val="single" w:color="A5A5A5" w:sz="8" w:space="0"/>
              <w:right w:val="single" w:color="A5A5A5" w:sz="8" w:space="0"/>
            </w:tcBorders>
            <w:shd w:val="clear" w:color="auto" w:fill="auto"/>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循证医学助力“健康中囯2030”的挑战、探索与思考</w:t>
            </w:r>
          </w:p>
        </w:tc>
      </w:tr>
      <w:tr>
        <w:tblPrEx>
          <w:tblCellMar>
            <w:top w:w="0" w:type="dxa"/>
            <w:left w:w="0" w:type="dxa"/>
            <w:bottom w:w="0" w:type="dxa"/>
            <w:right w:w="0" w:type="dxa"/>
          </w:tblCellMar>
        </w:tblPrEx>
        <w:trPr>
          <w:trHeight w:val="169"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auto"/>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09:45-10:10</w:t>
            </w:r>
          </w:p>
        </w:tc>
        <w:tc>
          <w:tcPr>
            <w:tcW w:w="8080" w:type="dxa"/>
            <w:tcBorders>
              <w:top w:val="single" w:color="A5A5A5" w:sz="8" w:space="0"/>
              <w:left w:val="single" w:color="A5A5A5" w:sz="8" w:space="0"/>
              <w:bottom w:val="single" w:color="A5A5A5" w:sz="8" w:space="0"/>
              <w:right w:val="single" w:color="A5A5A5" w:sz="8" w:space="0"/>
            </w:tcBorders>
            <w:shd w:val="clear" w:color="auto" w:fill="auto"/>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药物流行病学与用药安全</w:t>
            </w:r>
          </w:p>
        </w:tc>
      </w:tr>
      <w:tr>
        <w:tblPrEx>
          <w:tblCellMar>
            <w:top w:w="0" w:type="dxa"/>
            <w:left w:w="0" w:type="dxa"/>
            <w:bottom w:w="0" w:type="dxa"/>
            <w:right w:w="0" w:type="dxa"/>
          </w:tblCellMar>
        </w:tblPrEx>
        <w:trPr>
          <w:trHeight w:val="245"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auto"/>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10:10-10:35</w:t>
            </w:r>
          </w:p>
        </w:tc>
        <w:tc>
          <w:tcPr>
            <w:tcW w:w="8080" w:type="dxa"/>
            <w:tcBorders>
              <w:top w:val="single" w:color="A5A5A5" w:sz="8" w:space="0"/>
              <w:left w:val="single" w:color="A5A5A5" w:sz="8" w:space="0"/>
              <w:bottom w:val="single" w:color="A5A5A5" w:sz="8" w:space="0"/>
              <w:right w:val="single" w:color="A5A5A5" w:sz="8" w:space="0"/>
            </w:tcBorders>
            <w:shd w:val="clear" w:color="auto" w:fill="auto"/>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循证医学的哲学思考</w:t>
            </w:r>
          </w:p>
        </w:tc>
      </w:tr>
      <w:tr>
        <w:tblPrEx>
          <w:tblCellMar>
            <w:top w:w="0" w:type="dxa"/>
            <w:left w:w="0" w:type="dxa"/>
            <w:bottom w:w="0" w:type="dxa"/>
            <w:right w:w="0" w:type="dxa"/>
          </w:tblCellMar>
        </w:tblPrEx>
        <w:trPr>
          <w:trHeight w:val="193"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auto"/>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10:35-11:00</w:t>
            </w:r>
          </w:p>
        </w:tc>
        <w:tc>
          <w:tcPr>
            <w:tcW w:w="8080" w:type="dxa"/>
            <w:tcBorders>
              <w:top w:val="single" w:color="A5A5A5" w:sz="8" w:space="0"/>
              <w:left w:val="single" w:color="A5A5A5" w:sz="8" w:space="0"/>
              <w:bottom w:val="single" w:color="A5A5A5" w:sz="8" w:space="0"/>
              <w:right w:val="single" w:color="A5A5A5" w:sz="8" w:space="0"/>
            </w:tcBorders>
            <w:shd w:val="clear" w:color="auto" w:fill="auto"/>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真实世界研究在监管领域的应用进展情况</w:t>
            </w:r>
          </w:p>
        </w:tc>
      </w:tr>
      <w:tr>
        <w:tblPrEx>
          <w:tblCellMar>
            <w:top w:w="0" w:type="dxa"/>
            <w:left w:w="0" w:type="dxa"/>
            <w:bottom w:w="0" w:type="dxa"/>
            <w:right w:w="0" w:type="dxa"/>
          </w:tblCellMar>
        </w:tblPrEx>
        <w:trPr>
          <w:trHeight w:val="269"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auto"/>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11:00-11:25</w:t>
            </w:r>
          </w:p>
        </w:tc>
        <w:tc>
          <w:tcPr>
            <w:tcW w:w="8080" w:type="dxa"/>
            <w:tcBorders>
              <w:top w:val="single" w:color="A5A5A5" w:sz="8" w:space="0"/>
              <w:left w:val="single" w:color="A5A5A5" w:sz="8" w:space="0"/>
              <w:bottom w:val="single" w:color="A5A5A5" w:sz="8" w:space="0"/>
              <w:right w:val="single" w:color="A5A5A5" w:sz="8" w:space="0"/>
            </w:tcBorders>
            <w:shd w:val="clear" w:color="auto" w:fill="auto"/>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循证药学研究与思考</w:t>
            </w:r>
          </w:p>
        </w:tc>
      </w:tr>
      <w:tr>
        <w:tblPrEx>
          <w:tblCellMar>
            <w:top w:w="0" w:type="dxa"/>
            <w:left w:w="0" w:type="dxa"/>
            <w:bottom w:w="0" w:type="dxa"/>
            <w:right w:w="0" w:type="dxa"/>
          </w:tblCellMar>
        </w:tblPrEx>
        <w:trPr>
          <w:trHeight w:val="345"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auto"/>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11:25-11:35</w:t>
            </w:r>
          </w:p>
        </w:tc>
        <w:tc>
          <w:tcPr>
            <w:tcW w:w="8080" w:type="dxa"/>
            <w:tcBorders>
              <w:top w:val="single" w:color="A5A5A5" w:sz="8" w:space="0"/>
              <w:left w:val="single" w:color="A5A5A5" w:sz="8" w:space="0"/>
              <w:bottom w:val="single" w:color="A5A5A5" w:sz="8" w:space="0"/>
              <w:right w:val="single" w:color="A5A5A5" w:sz="8" w:space="0"/>
            </w:tcBorders>
            <w:shd w:val="clear" w:color="auto" w:fill="auto"/>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会议总结</w:t>
            </w:r>
          </w:p>
        </w:tc>
      </w:tr>
      <w:tr>
        <w:tblPrEx>
          <w:tblCellMar>
            <w:top w:w="0" w:type="dxa"/>
            <w:left w:w="0" w:type="dxa"/>
            <w:bottom w:w="0" w:type="dxa"/>
            <w:right w:w="0" w:type="dxa"/>
          </w:tblCellMar>
        </w:tblPrEx>
        <w:trPr>
          <w:trHeight w:val="397" w:hRule="atLeast"/>
          <w:jc w:val="center"/>
        </w:trPr>
        <w:tc>
          <w:tcPr>
            <w:tcW w:w="9771" w:type="dxa"/>
            <w:gridSpan w:val="2"/>
            <w:tcBorders>
              <w:top w:val="single" w:color="A5A5A5" w:sz="8" w:space="0"/>
              <w:left w:val="single" w:color="A5A5A5" w:sz="8" w:space="0"/>
              <w:bottom w:val="single" w:color="A5A5A5" w:sz="8" w:space="0"/>
              <w:right w:val="single" w:color="A5A5A5" w:sz="8" w:space="0"/>
            </w:tcBorders>
            <w:shd w:val="clear" w:color="auto" w:fill="FBE5D6"/>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12月18日（周六）下午  分论坛一：循证药学与药学实践</w:t>
            </w:r>
          </w:p>
        </w:tc>
      </w:tr>
      <w:tr>
        <w:tblPrEx>
          <w:tblCellMar>
            <w:top w:w="0" w:type="dxa"/>
            <w:left w:w="0" w:type="dxa"/>
            <w:bottom w:w="0" w:type="dxa"/>
            <w:right w:w="0" w:type="dxa"/>
          </w:tblCellMar>
        </w:tblPrEx>
        <w:trPr>
          <w:trHeight w:val="243"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13:30-13:35</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开场致辞</w:t>
            </w:r>
          </w:p>
        </w:tc>
      </w:tr>
      <w:tr>
        <w:tblPrEx>
          <w:tblCellMar>
            <w:top w:w="0" w:type="dxa"/>
            <w:left w:w="0" w:type="dxa"/>
            <w:bottom w:w="0" w:type="dxa"/>
            <w:right w:w="0" w:type="dxa"/>
          </w:tblCellMar>
        </w:tblPrEx>
        <w:trPr>
          <w:trHeight w:val="178"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13:35-14:00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Evolving Pharmacy Practice Landscape in the Next Decade</w:t>
            </w:r>
          </w:p>
        </w:tc>
      </w:tr>
      <w:tr>
        <w:tblPrEx>
          <w:tblCellMar>
            <w:top w:w="0" w:type="dxa"/>
            <w:left w:w="0" w:type="dxa"/>
            <w:bottom w:w="0" w:type="dxa"/>
            <w:right w:w="0" w:type="dxa"/>
          </w:tblCellMar>
        </w:tblPrEx>
        <w:trPr>
          <w:trHeight w:val="153"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14:00-14:25</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中药在应对新冠疫情治疗的作用思考</w:t>
            </w:r>
          </w:p>
        </w:tc>
      </w:tr>
      <w:tr>
        <w:tblPrEx>
          <w:tblCellMar>
            <w:top w:w="0" w:type="dxa"/>
            <w:left w:w="0" w:type="dxa"/>
            <w:bottom w:w="0" w:type="dxa"/>
            <w:right w:w="0" w:type="dxa"/>
          </w:tblCellMar>
        </w:tblPrEx>
        <w:trPr>
          <w:trHeight w:val="45"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14:25-14:50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老年患者药品不良事件主动监测探索与实践</w:t>
            </w:r>
          </w:p>
        </w:tc>
      </w:tr>
      <w:tr>
        <w:tblPrEx>
          <w:tblCellMar>
            <w:top w:w="0" w:type="dxa"/>
            <w:left w:w="0" w:type="dxa"/>
            <w:bottom w:w="0" w:type="dxa"/>
            <w:right w:w="0" w:type="dxa"/>
          </w:tblCellMar>
        </w:tblPrEx>
        <w:trPr>
          <w:trHeight w:val="177"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14:50-15:15</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卫生技术评估在药品控费中的应用</w:t>
            </w:r>
          </w:p>
        </w:tc>
      </w:tr>
      <w:tr>
        <w:tblPrEx>
          <w:tblCellMar>
            <w:top w:w="0" w:type="dxa"/>
            <w:left w:w="0" w:type="dxa"/>
            <w:bottom w:w="0" w:type="dxa"/>
            <w:right w:w="0" w:type="dxa"/>
          </w:tblCellMar>
        </w:tblPrEx>
        <w:trPr>
          <w:trHeight w:val="111"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15:15-15:40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Health Economics in Health Technology Assessment</w:t>
            </w:r>
          </w:p>
        </w:tc>
      </w:tr>
      <w:tr>
        <w:tblPrEx>
          <w:tblCellMar>
            <w:top w:w="0" w:type="dxa"/>
            <w:left w:w="0" w:type="dxa"/>
            <w:bottom w:w="0" w:type="dxa"/>
            <w:right w:w="0" w:type="dxa"/>
          </w:tblCellMar>
        </w:tblPrEx>
        <w:trPr>
          <w:trHeight w:val="215"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15:40-16:05</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药品不良反应信号筛选与药物警戒</w:t>
            </w:r>
          </w:p>
        </w:tc>
      </w:tr>
      <w:tr>
        <w:tblPrEx>
          <w:tblCellMar>
            <w:top w:w="0" w:type="dxa"/>
            <w:left w:w="0" w:type="dxa"/>
            <w:bottom w:w="0" w:type="dxa"/>
            <w:right w:w="0" w:type="dxa"/>
          </w:tblCellMar>
        </w:tblPrEx>
        <w:trPr>
          <w:trHeight w:val="305"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16:05-16:15</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会议总结</w:t>
            </w:r>
          </w:p>
        </w:tc>
      </w:tr>
      <w:tr>
        <w:tblPrEx>
          <w:tblCellMar>
            <w:top w:w="0" w:type="dxa"/>
            <w:left w:w="0" w:type="dxa"/>
            <w:bottom w:w="0" w:type="dxa"/>
            <w:right w:w="0" w:type="dxa"/>
          </w:tblCellMar>
        </w:tblPrEx>
        <w:trPr>
          <w:trHeight w:val="397" w:hRule="atLeast"/>
          <w:jc w:val="center"/>
        </w:trPr>
        <w:tc>
          <w:tcPr>
            <w:tcW w:w="9771" w:type="dxa"/>
            <w:gridSpan w:val="2"/>
            <w:tcBorders>
              <w:top w:val="single" w:color="A5A5A5" w:sz="8" w:space="0"/>
              <w:left w:val="single" w:color="A5A5A5" w:sz="8" w:space="0"/>
              <w:bottom w:val="single" w:color="A5A5A5" w:sz="8" w:space="0"/>
              <w:right w:val="single" w:color="A5A5A5" w:sz="8" w:space="0"/>
            </w:tcBorders>
            <w:shd w:val="clear" w:color="auto" w:fill="FBE5D6"/>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12月18日（周六）下午  分论坛二：循证药学与药学教育</w:t>
            </w:r>
          </w:p>
        </w:tc>
      </w:tr>
      <w:tr>
        <w:tblPrEx>
          <w:tblCellMar>
            <w:top w:w="0" w:type="dxa"/>
            <w:left w:w="0" w:type="dxa"/>
            <w:bottom w:w="0" w:type="dxa"/>
            <w:right w:w="0" w:type="dxa"/>
          </w:tblCellMar>
        </w:tblPrEx>
        <w:trPr>
          <w:trHeight w:val="231"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13:30-13:35</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开场致辞</w:t>
            </w:r>
          </w:p>
        </w:tc>
      </w:tr>
      <w:tr>
        <w:tblPrEx>
          <w:tblCellMar>
            <w:top w:w="0" w:type="dxa"/>
            <w:left w:w="0" w:type="dxa"/>
            <w:bottom w:w="0" w:type="dxa"/>
            <w:right w:w="0" w:type="dxa"/>
          </w:tblCellMar>
        </w:tblPrEx>
        <w:trPr>
          <w:trHeight w:val="165"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13:35-14:00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对循证药学学科专业建设和教育工作的一些思考</w:t>
            </w:r>
          </w:p>
        </w:tc>
      </w:tr>
      <w:tr>
        <w:tblPrEx>
          <w:tblCellMar>
            <w:top w:w="0" w:type="dxa"/>
            <w:left w:w="0" w:type="dxa"/>
            <w:bottom w:w="0" w:type="dxa"/>
            <w:right w:w="0" w:type="dxa"/>
          </w:tblCellMar>
        </w:tblPrEx>
        <w:trPr>
          <w:trHeight w:val="241"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14:00-14:20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循证药学课程体系设计与实践</w:t>
            </w:r>
          </w:p>
        </w:tc>
      </w:tr>
      <w:tr>
        <w:tblPrEx>
          <w:tblCellMar>
            <w:top w:w="0" w:type="dxa"/>
            <w:left w:w="0" w:type="dxa"/>
            <w:bottom w:w="0" w:type="dxa"/>
            <w:right w:w="0" w:type="dxa"/>
          </w:tblCellMar>
        </w:tblPrEx>
        <w:trPr>
          <w:trHeight w:val="189"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14:20-14:40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循证医学教学对医学生核心能力的影响</w:t>
            </w:r>
          </w:p>
        </w:tc>
      </w:tr>
      <w:tr>
        <w:tblPrEx>
          <w:tblCellMar>
            <w:top w:w="0" w:type="dxa"/>
            <w:left w:w="0" w:type="dxa"/>
            <w:bottom w:w="0" w:type="dxa"/>
            <w:right w:w="0" w:type="dxa"/>
          </w:tblCellMar>
        </w:tblPrEx>
        <w:trPr>
          <w:trHeight w:val="123"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14:40-15:00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循证药学课程教学模式的现状与启示</w:t>
            </w:r>
          </w:p>
        </w:tc>
      </w:tr>
      <w:tr>
        <w:tblPrEx>
          <w:tblCellMar>
            <w:top w:w="0" w:type="dxa"/>
            <w:left w:w="0" w:type="dxa"/>
            <w:bottom w:w="0" w:type="dxa"/>
            <w:right w:w="0" w:type="dxa"/>
          </w:tblCellMar>
        </w:tblPrEx>
        <w:trPr>
          <w:trHeight w:val="45"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15:00-15:20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循证药学在本科及研究生教育的产生和发展</w:t>
            </w:r>
          </w:p>
        </w:tc>
      </w:tr>
      <w:tr>
        <w:tblPrEx>
          <w:tblCellMar>
            <w:top w:w="0" w:type="dxa"/>
            <w:left w:w="0" w:type="dxa"/>
            <w:bottom w:w="0" w:type="dxa"/>
            <w:right w:w="0" w:type="dxa"/>
          </w:tblCellMar>
        </w:tblPrEx>
        <w:trPr>
          <w:trHeight w:val="133"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15:20-15:40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临床药学专业循证思维训练的教学模式探索</w:t>
            </w:r>
          </w:p>
        </w:tc>
      </w:tr>
      <w:tr>
        <w:tblPrEx>
          <w:tblCellMar>
            <w:top w:w="0" w:type="dxa"/>
            <w:left w:w="0" w:type="dxa"/>
            <w:bottom w:w="0" w:type="dxa"/>
            <w:right w:w="0" w:type="dxa"/>
          </w:tblCellMar>
        </w:tblPrEx>
        <w:trPr>
          <w:trHeight w:val="209"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15:40-15:50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教育讨论会</w:t>
            </w:r>
          </w:p>
        </w:tc>
      </w:tr>
      <w:tr>
        <w:tblPrEx>
          <w:tblCellMar>
            <w:top w:w="0" w:type="dxa"/>
            <w:left w:w="0" w:type="dxa"/>
            <w:bottom w:w="0" w:type="dxa"/>
            <w:right w:w="0" w:type="dxa"/>
          </w:tblCellMar>
        </w:tblPrEx>
        <w:trPr>
          <w:trHeight w:val="397" w:hRule="atLeast"/>
          <w:jc w:val="center"/>
        </w:trPr>
        <w:tc>
          <w:tcPr>
            <w:tcW w:w="9771" w:type="dxa"/>
            <w:gridSpan w:val="2"/>
            <w:tcBorders>
              <w:top w:val="single" w:color="A5A5A5" w:sz="8" w:space="0"/>
              <w:left w:val="single" w:color="A5A5A5" w:sz="8" w:space="0"/>
              <w:bottom w:val="single" w:color="A5A5A5" w:sz="8" w:space="0"/>
              <w:right w:val="single" w:color="A5A5A5" w:sz="8" w:space="0"/>
            </w:tcBorders>
            <w:shd w:val="clear" w:color="auto" w:fill="FBE5D6"/>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12月18日（周六）下午  循证药学专业委员会工作会</w:t>
            </w:r>
          </w:p>
        </w:tc>
      </w:tr>
      <w:tr>
        <w:tblPrEx>
          <w:tblCellMar>
            <w:top w:w="0" w:type="dxa"/>
            <w:left w:w="0" w:type="dxa"/>
            <w:bottom w:w="0" w:type="dxa"/>
            <w:right w:w="0" w:type="dxa"/>
          </w:tblCellMar>
        </w:tblPrEx>
        <w:trPr>
          <w:trHeight w:val="397"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16:30-18:00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循证药学专业委员会全体委员会议</w:t>
            </w:r>
          </w:p>
        </w:tc>
      </w:tr>
      <w:tr>
        <w:tblPrEx>
          <w:tblCellMar>
            <w:top w:w="0" w:type="dxa"/>
            <w:left w:w="0" w:type="dxa"/>
            <w:bottom w:w="0" w:type="dxa"/>
            <w:right w:w="0" w:type="dxa"/>
          </w:tblCellMar>
        </w:tblPrEx>
        <w:trPr>
          <w:trHeight w:val="397" w:hRule="atLeast"/>
          <w:jc w:val="center"/>
        </w:trPr>
        <w:tc>
          <w:tcPr>
            <w:tcW w:w="9771" w:type="dxa"/>
            <w:gridSpan w:val="2"/>
            <w:tcBorders>
              <w:top w:val="single" w:color="A5A5A5" w:sz="8" w:space="0"/>
              <w:left w:val="single" w:color="A5A5A5" w:sz="8" w:space="0"/>
              <w:bottom w:val="single" w:color="A5A5A5" w:sz="8" w:space="0"/>
              <w:right w:val="single" w:color="A5A5A5" w:sz="8" w:space="0"/>
            </w:tcBorders>
            <w:shd w:val="clear" w:color="auto" w:fill="FBE5D6"/>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12月19日（周日）上午  分论坛三：循证药学与药物研究</w:t>
            </w:r>
          </w:p>
        </w:tc>
      </w:tr>
      <w:tr>
        <w:tblPrEx>
          <w:tblCellMar>
            <w:top w:w="0" w:type="dxa"/>
            <w:left w:w="0" w:type="dxa"/>
            <w:bottom w:w="0" w:type="dxa"/>
            <w:right w:w="0" w:type="dxa"/>
          </w:tblCellMar>
        </w:tblPrEx>
        <w:trPr>
          <w:trHeight w:val="134"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08:15-08:30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医药新知 抗肿瘤药物分级管理循证药学实践</w:t>
            </w:r>
          </w:p>
        </w:tc>
      </w:tr>
      <w:tr>
        <w:tblPrEx>
          <w:tblCellMar>
            <w:top w:w="0" w:type="dxa"/>
            <w:left w:w="0" w:type="dxa"/>
            <w:bottom w:w="0" w:type="dxa"/>
            <w:right w:w="0" w:type="dxa"/>
          </w:tblCellMar>
        </w:tblPrEx>
        <w:trPr>
          <w:trHeight w:val="209"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08:30-08:35</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开场致辞</w:t>
            </w:r>
          </w:p>
        </w:tc>
      </w:tr>
      <w:tr>
        <w:tblPrEx>
          <w:tblCellMar>
            <w:top w:w="0" w:type="dxa"/>
            <w:left w:w="0" w:type="dxa"/>
            <w:bottom w:w="0" w:type="dxa"/>
            <w:right w:w="0" w:type="dxa"/>
          </w:tblCellMar>
        </w:tblPrEx>
        <w:trPr>
          <w:trHeight w:val="157"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08:35-09:00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中医现代发展之路：从循证中医到数智中医</w:t>
            </w:r>
          </w:p>
        </w:tc>
      </w:tr>
      <w:tr>
        <w:tblPrEx>
          <w:tblCellMar>
            <w:top w:w="0" w:type="dxa"/>
            <w:left w:w="0" w:type="dxa"/>
            <w:bottom w:w="0" w:type="dxa"/>
            <w:right w:w="0" w:type="dxa"/>
          </w:tblCellMar>
        </w:tblPrEx>
        <w:trPr>
          <w:trHeight w:val="233"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09:00-09:25</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基于大数据的医保支付方式改革在广州上海的实践</w:t>
            </w:r>
          </w:p>
        </w:tc>
      </w:tr>
      <w:tr>
        <w:tblPrEx>
          <w:tblCellMar>
            <w:top w:w="0" w:type="dxa"/>
            <w:left w:w="0" w:type="dxa"/>
            <w:bottom w:w="0" w:type="dxa"/>
            <w:right w:w="0" w:type="dxa"/>
          </w:tblCellMar>
        </w:tblPrEx>
        <w:trPr>
          <w:trHeight w:val="153"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09:25-09:50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基于临床真实世界证据的中药质量标志物的发现与确认</w:t>
            </w:r>
          </w:p>
        </w:tc>
      </w:tr>
      <w:tr>
        <w:tblPrEx>
          <w:tblCellMar>
            <w:top w:w="0" w:type="dxa"/>
            <w:left w:w="0" w:type="dxa"/>
            <w:bottom w:w="0" w:type="dxa"/>
            <w:right w:w="0" w:type="dxa"/>
          </w:tblCellMar>
        </w:tblPrEx>
        <w:trPr>
          <w:trHeight w:val="88"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09:50-10:15</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专病真实世界数据研究创新与实践</w:t>
            </w:r>
          </w:p>
        </w:tc>
      </w:tr>
      <w:tr>
        <w:tblPrEx>
          <w:tblCellMar>
            <w:top w:w="0" w:type="dxa"/>
            <w:left w:w="0" w:type="dxa"/>
            <w:bottom w:w="0" w:type="dxa"/>
            <w:right w:w="0" w:type="dxa"/>
          </w:tblCellMar>
        </w:tblPrEx>
        <w:trPr>
          <w:trHeight w:val="340"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10:15-10:40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乳腺癌的真实世界研究</w:t>
            </w:r>
          </w:p>
        </w:tc>
      </w:tr>
      <w:tr>
        <w:tblPrEx>
          <w:tblCellMar>
            <w:top w:w="0" w:type="dxa"/>
            <w:left w:w="0" w:type="dxa"/>
            <w:bottom w:w="0" w:type="dxa"/>
            <w:right w:w="0" w:type="dxa"/>
          </w:tblCellMar>
        </w:tblPrEx>
        <w:trPr>
          <w:trHeight w:val="392"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10:40-11:05</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融合数据驱动和知识驱动的老年常见病多重用药风险数据挖掘技术和风险识别模型研发</w:t>
            </w:r>
          </w:p>
        </w:tc>
      </w:tr>
      <w:tr>
        <w:tblPrEx>
          <w:tblCellMar>
            <w:top w:w="0" w:type="dxa"/>
            <w:left w:w="0" w:type="dxa"/>
            <w:bottom w:w="0" w:type="dxa"/>
            <w:right w:w="0" w:type="dxa"/>
          </w:tblCellMar>
        </w:tblPrEx>
        <w:trPr>
          <w:trHeight w:val="160"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11:05-11:30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循证药学思维与证据生产转化</w:t>
            </w:r>
          </w:p>
        </w:tc>
      </w:tr>
      <w:tr>
        <w:tblPrEx>
          <w:tblCellMar>
            <w:top w:w="0" w:type="dxa"/>
            <w:left w:w="0" w:type="dxa"/>
            <w:bottom w:w="0" w:type="dxa"/>
            <w:right w:w="0" w:type="dxa"/>
          </w:tblCellMar>
        </w:tblPrEx>
        <w:trPr>
          <w:trHeight w:val="235"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11:30-11:40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会议总结</w:t>
            </w:r>
          </w:p>
        </w:tc>
      </w:tr>
      <w:tr>
        <w:tblPrEx>
          <w:tblCellMar>
            <w:top w:w="0" w:type="dxa"/>
            <w:left w:w="0" w:type="dxa"/>
            <w:bottom w:w="0" w:type="dxa"/>
            <w:right w:w="0" w:type="dxa"/>
          </w:tblCellMar>
        </w:tblPrEx>
        <w:trPr>
          <w:trHeight w:val="397" w:hRule="atLeast"/>
          <w:jc w:val="center"/>
        </w:trPr>
        <w:tc>
          <w:tcPr>
            <w:tcW w:w="9771" w:type="dxa"/>
            <w:gridSpan w:val="2"/>
            <w:tcBorders>
              <w:top w:val="single" w:color="A5A5A5" w:sz="8" w:space="0"/>
              <w:left w:val="single" w:color="A5A5A5" w:sz="8" w:space="0"/>
              <w:bottom w:val="single" w:color="A5A5A5" w:sz="8" w:space="0"/>
              <w:right w:val="single" w:color="A5A5A5" w:sz="8" w:space="0"/>
            </w:tcBorders>
            <w:shd w:val="clear" w:color="auto" w:fill="FBE5D6"/>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12月19日（周日）上午  分论坛四：循证药学与指南</w:t>
            </w:r>
          </w:p>
        </w:tc>
      </w:tr>
      <w:tr>
        <w:tblPrEx>
          <w:tblCellMar>
            <w:top w:w="0" w:type="dxa"/>
            <w:left w:w="0" w:type="dxa"/>
            <w:bottom w:w="0" w:type="dxa"/>
            <w:right w:w="0" w:type="dxa"/>
          </w:tblCellMar>
        </w:tblPrEx>
        <w:trPr>
          <w:trHeight w:val="317"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08:15-08:30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医药新知 司美格鲁肽心血管获益循证解读</w:t>
            </w:r>
          </w:p>
        </w:tc>
      </w:tr>
      <w:tr>
        <w:tblPrEx>
          <w:tblCellMar>
            <w:top w:w="0" w:type="dxa"/>
            <w:left w:w="0" w:type="dxa"/>
            <w:bottom w:w="0" w:type="dxa"/>
            <w:right w:w="0" w:type="dxa"/>
          </w:tblCellMar>
        </w:tblPrEx>
        <w:trPr>
          <w:trHeight w:val="251"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08:30-08:35</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开场致辞</w:t>
            </w:r>
          </w:p>
        </w:tc>
      </w:tr>
      <w:tr>
        <w:tblPrEx>
          <w:tblCellMar>
            <w:top w:w="0" w:type="dxa"/>
            <w:left w:w="0" w:type="dxa"/>
            <w:bottom w:w="0" w:type="dxa"/>
            <w:right w:w="0" w:type="dxa"/>
          </w:tblCellMar>
        </w:tblPrEx>
        <w:trPr>
          <w:trHeight w:val="186"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08:35-09:00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指南临床适用性评价研究</w:t>
            </w:r>
          </w:p>
        </w:tc>
      </w:tr>
      <w:tr>
        <w:tblPrEx>
          <w:tblCellMar>
            <w:top w:w="0" w:type="dxa"/>
            <w:left w:w="0" w:type="dxa"/>
            <w:bottom w:w="0" w:type="dxa"/>
            <w:right w:w="0" w:type="dxa"/>
          </w:tblCellMar>
        </w:tblPrEx>
        <w:trPr>
          <w:trHeight w:val="261"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09:00-09:25</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万古霉素治疗药学监测证据的产生与临床决策支持系统</w:t>
            </w:r>
          </w:p>
        </w:tc>
      </w:tr>
      <w:tr>
        <w:tblPrEx>
          <w:tblCellMar>
            <w:top w:w="0" w:type="dxa"/>
            <w:left w:w="0" w:type="dxa"/>
            <w:bottom w:w="0" w:type="dxa"/>
            <w:right w:w="0" w:type="dxa"/>
          </w:tblCellMar>
        </w:tblPrEx>
        <w:trPr>
          <w:trHeight w:val="337"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09:25-09:50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HTA在指南制定中的应用</w:t>
            </w:r>
          </w:p>
        </w:tc>
      </w:tr>
      <w:tr>
        <w:tblPrEx>
          <w:tblCellMar>
            <w:top w:w="0" w:type="dxa"/>
            <w:left w:w="0" w:type="dxa"/>
            <w:bottom w:w="0" w:type="dxa"/>
            <w:right w:w="0" w:type="dxa"/>
          </w:tblCellMar>
        </w:tblPrEx>
        <w:trPr>
          <w:trHeight w:val="257"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09:50-10:15</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The trend in global guidelines for pharmacoeconomic evaluation</w:t>
            </w:r>
          </w:p>
        </w:tc>
      </w:tr>
      <w:tr>
        <w:tblPrEx>
          <w:tblCellMar>
            <w:top w:w="0" w:type="dxa"/>
            <w:left w:w="0" w:type="dxa"/>
            <w:bottom w:w="0" w:type="dxa"/>
            <w:right w:w="0" w:type="dxa"/>
          </w:tblCellMar>
        </w:tblPrEx>
        <w:trPr>
          <w:trHeight w:val="219"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10:15-10:40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加拿大安大略省癌症医学指南中心指南制定经验分享</w:t>
            </w:r>
          </w:p>
        </w:tc>
      </w:tr>
      <w:tr>
        <w:tblPrEx>
          <w:tblCellMar>
            <w:top w:w="0" w:type="dxa"/>
            <w:left w:w="0" w:type="dxa"/>
            <w:bottom w:w="0" w:type="dxa"/>
            <w:right w:w="0" w:type="dxa"/>
          </w:tblCellMar>
        </w:tblPrEx>
        <w:trPr>
          <w:trHeight w:val="310"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10:40-11:05</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医疗机构药品遴选指南简介</w:t>
            </w:r>
          </w:p>
        </w:tc>
      </w:tr>
      <w:tr>
        <w:tblPrEx>
          <w:tblCellMar>
            <w:top w:w="0" w:type="dxa"/>
            <w:left w:w="0" w:type="dxa"/>
            <w:bottom w:w="0" w:type="dxa"/>
            <w:right w:w="0" w:type="dxa"/>
          </w:tblCellMar>
        </w:tblPrEx>
        <w:trPr>
          <w:trHeight w:val="243"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11:05-11:30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中国临床实践指南、共识解读类文献报告质量分析</w:t>
            </w:r>
          </w:p>
        </w:tc>
      </w:tr>
      <w:tr>
        <w:tblPrEx>
          <w:tblCellMar>
            <w:top w:w="0" w:type="dxa"/>
            <w:left w:w="0" w:type="dxa"/>
            <w:bottom w:w="0" w:type="dxa"/>
            <w:right w:w="0" w:type="dxa"/>
          </w:tblCellMar>
        </w:tblPrEx>
        <w:trPr>
          <w:trHeight w:val="319"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11:30-11:55</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临床实践指南透明度评价工具的循证构建</w:t>
            </w:r>
          </w:p>
        </w:tc>
      </w:tr>
      <w:tr>
        <w:tblPrEx>
          <w:tblCellMar>
            <w:top w:w="0" w:type="dxa"/>
            <w:left w:w="0" w:type="dxa"/>
            <w:bottom w:w="0" w:type="dxa"/>
            <w:right w:w="0" w:type="dxa"/>
          </w:tblCellMar>
        </w:tblPrEx>
        <w:trPr>
          <w:trHeight w:val="253"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11:55-12:05</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会议总结</w:t>
            </w:r>
          </w:p>
        </w:tc>
      </w:tr>
      <w:tr>
        <w:tblPrEx>
          <w:tblCellMar>
            <w:top w:w="0" w:type="dxa"/>
            <w:left w:w="0" w:type="dxa"/>
            <w:bottom w:w="0" w:type="dxa"/>
            <w:right w:w="0" w:type="dxa"/>
          </w:tblCellMar>
        </w:tblPrEx>
        <w:trPr>
          <w:trHeight w:val="397" w:hRule="atLeast"/>
          <w:jc w:val="center"/>
        </w:trPr>
        <w:tc>
          <w:tcPr>
            <w:tcW w:w="9771" w:type="dxa"/>
            <w:gridSpan w:val="2"/>
            <w:tcBorders>
              <w:top w:val="single" w:color="A5A5A5" w:sz="8" w:space="0"/>
              <w:left w:val="single" w:color="A5A5A5" w:sz="8" w:space="0"/>
              <w:bottom w:val="single" w:color="A5A5A5" w:sz="8" w:space="0"/>
              <w:right w:val="single" w:color="A5A5A5" w:sz="8" w:space="0"/>
            </w:tcBorders>
            <w:shd w:val="clear" w:color="auto" w:fill="FBE5D6"/>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12月19日（周日）下午  分论坛五：“循证后浪”—青年药师沙龙</w:t>
            </w:r>
          </w:p>
        </w:tc>
      </w:tr>
      <w:tr>
        <w:tblPrEx>
          <w:tblCellMar>
            <w:top w:w="0" w:type="dxa"/>
            <w:left w:w="0" w:type="dxa"/>
            <w:bottom w:w="0" w:type="dxa"/>
            <w:right w:w="0" w:type="dxa"/>
          </w:tblCellMar>
        </w:tblPrEx>
        <w:trPr>
          <w:trHeight w:val="321"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13:00-13:15</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医药新知 生长激素的合理应用与患者获益</w:t>
            </w:r>
          </w:p>
        </w:tc>
      </w:tr>
      <w:tr>
        <w:tblPrEx>
          <w:tblCellMar>
            <w:top w:w="0" w:type="dxa"/>
            <w:left w:w="0" w:type="dxa"/>
            <w:bottom w:w="0" w:type="dxa"/>
            <w:right w:w="0" w:type="dxa"/>
          </w:tblCellMar>
        </w:tblPrEx>
        <w:trPr>
          <w:trHeight w:val="241"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13:15-13:30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开场致辞</w:t>
            </w:r>
          </w:p>
        </w:tc>
      </w:tr>
      <w:tr>
        <w:tblPrEx>
          <w:tblCellMar>
            <w:top w:w="0" w:type="dxa"/>
            <w:left w:w="0" w:type="dxa"/>
            <w:bottom w:w="0" w:type="dxa"/>
            <w:right w:w="0" w:type="dxa"/>
          </w:tblCellMar>
        </w:tblPrEx>
        <w:trPr>
          <w:trHeight w:val="317"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13:30-13:45</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kern w:val="0"/>
                <w:sz w:val="24"/>
                <w:szCs w:val="24"/>
              </w:rPr>
              <w:t>BMJ快速推荐系列指南制定经验分享</w:t>
            </w:r>
          </w:p>
        </w:tc>
      </w:tr>
      <w:tr>
        <w:tblPrEx>
          <w:tblCellMar>
            <w:top w:w="0" w:type="dxa"/>
            <w:left w:w="0" w:type="dxa"/>
            <w:bottom w:w="0" w:type="dxa"/>
            <w:right w:w="0" w:type="dxa"/>
          </w:tblCellMar>
        </w:tblPrEx>
        <w:trPr>
          <w:trHeight w:val="549"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13:45-14:00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14项流行饮食方案的常量营养素模式在降低成人体重和心血管危险因素中的比较：基于随机试验的系统评价和网状Meta分析</w:t>
            </w:r>
          </w:p>
        </w:tc>
      </w:tr>
      <w:tr>
        <w:tblPrEx>
          <w:tblCellMar>
            <w:top w:w="0" w:type="dxa"/>
            <w:left w:w="0" w:type="dxa"/>
            <w:bottom w:w="0" w:type="dxa"/>
            <w:right w:w="0" w:type="dxa"/>
          </w:tblCellMar>
        </w:tblPrEx>
        <w:trPr>
          <w:trHeight w:val="161"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14:00-14:15</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高质量系统评价的进阶之路</w:t>
            </w:r>
          </w:p>
        </w:tc>
      </w:tr>
      <w:tr>
        <w:tblPrEx>
          <w:tblCellMar>
            <w:top w:w="0" w:type="dxa"/>
            <w:left w:w="0" w:type="dxa"/>
            <w:bottom w:w="0" w:type="dxa"/>
            <w:right w:w="0" w:type="dxa"/>
          </w:tblCellMar>
        </w:tblPrEx>
        <w:trPr>
          <w:trHeight w:val="251"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14:15-14:30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补充维生素D与死亡率间的关系：系统评价和Meta分析</w:t>
            </w:r>
          </w:p>
        </w:tc>
      </w:tr>
      <w:tr>
        <w:tblPrEx>
          <w:tblCellMar>
            <w:top w:w="0" w:type="dxa"/>
            <w:left w:w="0" w:type="dxa"/>
            <w:bottom w:w="0" w:type="dxa"/>
            <w:right w:w="0" w:type="dxa"/>
          </w:tblCellMar>
        </w:tblPrEx>
        <w:trPr>
          <w:trHeight w:val="185"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14:30-14:45</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新冠肺炎核心指标集研制路径及转化应用</w:t>
            </w:r>
          </w:p>
        </w:tc>
      </w:tr>
      <w:tr>
        <w:tblPrEx>
          <w:tblCellMar>
            <w:top w:w="0" w:type="dxa"/>
            <w:left w:w="0" w:type="dxa"/>
            <w:bottom w:w="0" w:type="dxa"/>
            <w:right w:w="0" w:type="dxa"/>
          </w:tblCellMar>
        </w:tblPrEx>
        <w:trPr>
          <w:trHeight w:val="262"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14:45-15:00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基于DIKW模型的帕金森病动态个体化给药研究</w:t>
            </w:r>
          </w:p>
        </w:tc>
      </w:tr>
      <w:tr>
        <w:tblPrEx>
          <w:tblCellMar>
            <w:top w:w="0" w:type="dxa"/>
            <w:left w:w="0" w:type="dxa"/>
            <w:bottom w:w="0" w:type="dxa"/>
            <w:right w:w="0" w:type="dxa"/>
          </w:tblCellMar>
        </w:tblPrEx>
        <w:trPr>
          <w:trHeight w:val="209"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kern w:val="0"/>
                <w:sz w:val="24"/>
                <w:szCs w:val="24"/>
              </w:rPr>
              <w:t>15:00-15:15</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kern w:val="0"/>
                <w:sz w:val="24"/>
                <w:szCs w:val="24"/>
              </w:rPr>
              <w:t>基于多源大数据的药品短缺动态预警与综合应对机制研究</w:t>
            </w:r>
          </w:p>
        </w:tc>
      </w:tr>
      <w:tr>
        <w:tblPrEx>
          <w:tblCellMar>
            <w:top w:w="0" w:type="dxa"/>
            <w:left w:w="0" w:type="dxa"/>
            <w:bottom w:w="0" w:type="dxa"/>
            <w:right w:w="0" w:type="dxa"/>
          </w:tblCellMar>
        </w:tblPrEx>
        <w:trPr>
          <w:trHeight w:val="285"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kern w:val="0"/>
                <w:sz w:val="24"/>
                <w:szCs w:val="24"/>
              </w:rPr>
              <w:t>15:15-15:30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N-3 PUFAs缓解内质网应激在抑郁症发病与治疗中的作用</w:t>
            </w:r>
          </w:p>
        </w:tc>
      </w:tr>
      <w:tr>
        <w:tblPrEx>
          <w:tblCellMar>
            <w:top w:w="0" w:type="dxa"/>
            <w:left w:w="0" w:type="dxa"/>
            <w:bottom w:w="0" w:type="dxa"/>
            <w:right w:w="0" w:type="dxa"/>
          </w:tblCellMar>
        </w:tblPrEx>
        <w:trPr>
          <w:trHeight w:val="219"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kern w:val="0"/>
                <w:sz w:val="24"/>
                <w:szCs w:val="24"/>
              </w:rPr>
              <w:t>15:30-15:45</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基于高维真实世界医疗大数据的ICU患者用药风险监测评价</w:t>
            </w:r>
          </w:p>
        </w:tc>
      </w:tr>
      <w:tr>
        <w:tblPrEx>
          <w:tblCellMar>
            <w:top w:w="0" w:type="dxa"/>
            <w:left w:w="0" w:type="dxa"/>
            <w:bottom w:w="0" w:type="dxa"/>
            <w:right w:w="0" w:type="dxa"/>
          </w:tblCellMar>
        </w:tblPrEx>
        <w:trPr>
          <w:trHeight w:val="309"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kern w:val="0"/>
                <w:sz w:val="24"/>
                <w:szCs w:val="24"/>
              </w:rPr>
              <w:t>15:45-16:05</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专家点评</w:t>
            </w:r>
          </w:p>
        </w:tc>
      </w:tr>
      <w:tr>
        <w:tblPrEx>
          <w:tblCellMar>
            <w:top w:w="0" w:type="dxa"/>
            <w:left w:w="0" w:type="dxa"/>
            <w:bottom w:w="0" w:type="dxa"/>
            <w:right w:w="0" w:type="dxa"/>
          </w:tblCellMar>
        </w:tblPrEx>
        <w:trPr>
          <w:trHeight w:val="230" w:hRule="atLeast"/>
          <w:jc w:val="center"/>
        </w:trPr>
        <w:tc>
          <w:tcPr>
            <w:tcW w:w="1691"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kern w:val="0"/>
                <w:sz w:val="24"/>
                <w:szCs w:val="24"/>
              </w:rPr>
              <w:t>16:05-16:10</w:t>
            </w:r>
          </w:p>
        </w:tc>
        <w:tc>
          <w:tcPr>
            <w:tcW w:w="8080" w:type="dxa"/>
            <w:tcBorders>
              <w:top w:val="single" w:color="A5A5A5" w:sz="8" w:space="0"/>
              <w:left w:val="single" w:color="A5A5A5" w:sz="8" w:space="0"/>
              <w:bottom w:val="single" w:color="A5A5A5" w:sz="8" w:space="0"/>
              <w:right w:val="single" w:color="A5A5A5" w:sz="8" w:space="0"/>
            </w:tcBorders>
            <w:shd w:val="clear" w:color="auto" w:fill="FFFFFF"/>
            <w:tcMar>
              <w:top w:w="15" w:type="dxa"/>
              <w:left w:w="108" w:type="dxa"/>
              <w:bottom w:w="0" w:type="dxa"/>
              <w:right w:w="108" w:type="dxa"/>
            </w:tcMar>
            <w:vAlign w:val="center"/>
          </w:tcPr>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会议总结</w:t>
            </w:r>
          </w:p>
        </w:tc>
      </w:tr>
    </w:tbl>
    <w:p>
      <w:pPr>
        <w:adjustRightInd w:val="0"/>
        <w:snapToGrid w:val="0"/>
        <w:rPr>
          <w:rFonts w:hint="eastAsia" w:ascii="微软雅黑" w:hAnsi="微软雅黑" w:eastAsia="微软雅黑" w:cs="微软雅黑"/>
          <w:color w:val="000000" w:themeColor="text1"/>
          <w:sz w:val="24"/>
          <w:szCs w:val="24"/>
          <w14:textFill>
            <w14:solidFill>
              <w14:schemeClr w14:val="tx1"/>
            </w14:solidFill>
          </w14:textFill>
        </w:rPr>
        <w:sectPr>
          <w:pgSz w:w="11906" w:h="16838"/>
          <w:pgMar w:top="754" w:right="1080" w:bottom="528" w:left="1080" w:header="851" w:footer="737" w:gutter="0"/>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70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2021-12-02T07:21:47Z</dcterms:created>
  <dc:creator>liuxiaohua</dc:creator>
  <cp:lastModifiedBy>liuxiaohua</cp:lastModifiedBy>
  <dcterms:modified xsi:type="dcterms:W3CDTF">2021-12-02T07:21:59Z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DE6DC58DD630413CAC1F50134A153EDD</vt:lpwstr>
  </property>
</Properties>
</file>